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E73757">
              <w:rPr>
                <w:b/>
              </w:rPr>
              <w:t>28</w:t>
            </w:r>
            <w:bookmarkStart w:id="0" w:name="_GoBack"/>
            <w:bookmarkEnd w:id="0"/>
            <w:r w:rsidR="00022886">
              <w:rPr>
                <w:b/>
              </w:rPr>
              <w:t>/</w:t>
            </w:r>
            <w:r w:rsidR="00725E9B">
              <w:rPr>
                <w:b/>
              </w:rPr>
              <w:t>03</w:t>
            </w:r>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E73757">
        <w:rPr>
          <w:rFonts w:ascii="Arial" w:hAnsi="Arial" w:cs="Arial"/>
        </w:rPr>
        <w:t>114/24</w:t>
      </w:r>
      <w:r w:rsidR="00725E9B">
        <w:rPr>
          <w:rFonts w:ascii="Arial" w:hAnsi="Arial" w:cs="Arial"/>
        </w:rPr>
        <w:t>-03-2022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725E9B">
        <w:rPr>
          <w:rFonts w:ascii="Arial" w:hAnsi="Arial" w:cs="Arial"/>
        </w:rPr>
        <w:t>Εαρινό</w:t>
      </w:r>
      <w:r w:rsidR="00F655DC">
        <w:rPr>
          <w:rFonts w:ascii="Arial" w:hAnsi="Arial" w:cs="Arial"/>
        </w:rPr>
        <w:t xml:space="preserve"> </w:t>
      </w:r>
      <w:r w:rsidR="00022886">
        <w:rPr>
          <w:rFonts w:ascii="Arial" w:hAnsi="Arial" w:cs="Arial"/>
        </w:rPr>
        <w:t>εξάμηνο 2021-22</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725E9B">
        <w:rPr>
          <w:rFonts w:ascii="Arial" w:hAnsi="Arial" w:cs="Arial"/>
        </w:rPr>
        <w:t>Εα</w:t>
      </w:r>
      <w:r w:rsidR="00022886">
        <w:rPr>
          <w:rFonts w:ascii="Arial" w:hAnsi="Arial" w:cs="Arial"/>
        </w:rPr>
        <w:t xml:space="preserve">ρινό εξάμηνο 2021-22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06FC-7799-40D3-91C3-35996D3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6</cp:revision>
  <cp:lastPrinted>2022-03-16T08:54:00Z</cp:lastPrinted>
  <dcterms:created xsi:type="dcterms:W3CDTF">2022-01-11T09:10:00Z</dcterms:created>
  <dcterms:modified xsi:type="dcterms:W3CDTF">2022-03-28T10:13:00Z</dcterms:modified>
</cp:coreProperties>
</file>